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6E" w:rsidRDefault="0093262E" w:rsidP="0093262E">
      <w:pPr>
        <w:spacing w:line="660" w:lineRule="exact"/>
        <w:jc w:val="center"/>
      </w:pPr>
      <w:r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202</w:t>
      </w:r>
      <w:r>
        <w:rPr>
          <w:rFonts w:ascii="仿宋_GB2312" w:eastAsia="仿宋_GB2312" w:hAnsiTheme="majorEastAsia" w:cs="仿宋_GB2312"/>
          <w:b/>
          <w:color w:val="000000"/>
          <w:spacing w:val="-4"/>
          <w:kern w:val="0"/>
          <w:sz w:val="24"/>
        </w:rPr>
        <w:t>1</w:t>
      </w:r>
      <w:r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年苏州市吴江城市投资发展集团有限公司招聘工作人员岗位简介</w:t>
      </w:r>
    </w:p>
    <w:tbl>
      <w:tblPr>
        <w:tblpPr w:leftFromText="180" w:rightFromText="180" w:vertAnchor="page" w:horzAnchor="margin" w:tblpXSpec="center" w:tblpY="282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8"/>
        <w:gridCol w:w="1134"/>
        <w:gridCol w:w="709"/>
        <w:gridCol w:w="567"/>
        <w:gridCol w:w="992"/>
        <w:gridCol w:w="1418"/>
        <w:gridCol w:w="855"/>
        <w:gridCol w:w="4322"/>
      </w:tblGrid>
      <w:tr w:rsidR="0093262E" w:rsidTr="00F73A5C">
        <w:trPr>
          <w:trHeight w:hRule="exact" w:val="1140"/>
        </w:trPr>
        <w:tc>
          <w:tcPr>
            <w:tcW w:w="1168" w:type="dxa"/>
          </w:tcPr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招聘单位</w:t>
            </w:r>
          </w:p>
        </w:tc>
        <w:tc>
          <w:tcPr>
            <w:tcW w:w="1134" w:type="dxa"/>
            <w:vAlign w:val="center"/>
          </w:tcPr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567" w:type="dxa"/>
            <w:vAlign w:val="center"/>
          </w:tcPr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418" w:type="dxa"/>
            <w:vAlign w:val="center"/>
          </w:tcPr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855" w:type="dxa"/>
            <w:vAlign w:val="center"/>
          </w:tcPr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4322" w:type="dxa"/>
            <w:vAlign w:val="center"/>
          </w:tcPr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其他要求</w:t>
            </w:r>
          </w:p>
        </w:tc>
      </w:tr>
      <w:tr w:rsidR="0093262E" w:rsidTr="0093262E">
        <w:trPr>
          <w:trHeight w:hRule="exact" w:val="2002"/>
        </w:trPr>
        <w:tc>
          <w:tcPr>
            <w:tcW w:w="1168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F31EE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苏州市吴江城投项目管理有限公司</w:t>
            </w:r>
          </w:p>
        </w:tc>
        <w:tc>
          <w:tcPr>
            <w:tcW w:w="1134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F31EE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土建工程师</w:t>
            </w:r>
          </w:p>
        </w:tc>
        <w:tc>
          <w:tcPr>
            <w:tcW w:w="709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</w:t>
            </w: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F31EE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F31EE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建筑工程类</w:t>
            </w:r>
          </w:p>
        </w:tc>
        <w:tc>
          <w:tcPr>
            <w:tcW w:w="855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2" w:type="dxa"/>
            <w:vAlign w:val="center"/>
          </w:tcPr>
          <w:p w:rsidR="0093262E" w:rsidRPr="00F31EE7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1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精通施工管理和施工相关</w:t>
            </w:r>
            <w:r w:rsidR="00E1630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专、</w:t>
            </w:r>
            <w:r w:rsidRPr="00F31EE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知识；</w:t>
            </w:r>
          </w:p>
          <w:p w:rsidR="0093262E" w:rsidRPr="00F31EE7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2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F31EE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较强的现场施工组织能力及沟通</w:t>
            </w:r>
            <w:r w:rsidR="00E1630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Pr="00F31EE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协调能力及管理能力；</w:t>
            </w:r>
          </w:p>
          <w:p w:rsidR="0093262E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="00E1630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责任心强、</w:t>
            </w:r>
            <w:r w:rsidRPr="00F31EE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办事果断</w:t>
            </w:r>
            <w:r w:rsidR="00E1630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，</w:t>
            </w:r>
            <w:r w:rsidRPr="00F31EE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有较强的团队合作意识；</w:t>
            </w:r>
          </w:p>
          <w:p w:rsidR="00550119" w:rsidRDefault="0093262E" w:rsidP="0055011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有土建类</w:t>
            </w:r>
            <w:r w:rsidR="00E1630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建筑类相关职称者优先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;</w:t>
            </w:r>
          </w:p>
          <w:p w:rsidR="0093262E" w:rsidRDefault="0093262E" w:rsidP="0055011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550119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5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35周岁及以下（1985年</w:t>
            </w:r>
            <w:r w:rsidRPr="00550119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4</w:t>
            </w:r>
            <w:r w:rsidRP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月1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日以后出生）</w:t>
            </w:r>
            <w:r w:rsidR="000B3B6E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。</w:t>
            </w:r>
          </w:p>
        </w:tc>
      </w:tr>
      <w:tr w:rsidR="0093262E" w:rsidRPr="00D30701" w:rsidTr="0093262E">
        <w:trPr>
          <w:trHeight w:hRule="exact" w:val="2398"/>
        </w:trPr>
        <w:tc>
          <w:tcPr>
            <w:tcW w:w="1168" w:type="dxa"/>
            <w:vAlign w:val="center"/>
          </w:tcPr>
          <w:p w:rsidR="0093262E" w:rsidRPr="00F31EE7" w:rsidRDefault="0093262E" w:rsidP="00F73A5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D3070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苏州市吴越智博大数据科技有限公司</w:t>
            </w:r>
          </w:p>
        </w:tc>
        <w:tc>
          <w:tcPr>
            <w:tcW w:w="1134" w:type="dxa"/>
            <w:vAlign w:val="center"/>
          </w:tcPr>
          <w:p w:rsidR="0093262E" w:rsidRPr="00F31EE7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CD40BE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商务专员</w:t>
            </w:r>
          </w:p>
        </w:tc>
        <w:tc>
          <w:tcPr>
            <w:tcW w:w="709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</w:t>
            </w: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3262E" w:rsidRPr="00F31EE7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93262E" w:rsidRPr="00F31EE7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D3070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经济类</w:t>
            </w:r>
            <w:r w:rsidR="00D3662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="006A661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工商管理类</w:t>
            </w:r>
          </w:p>
        </w:tc>
        <w:tc>
          <w:tcPr>
            <w:tcW w:w="855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2" w:type="dxa"/>
            <w:vAlign w:val="center"/>
          </w:tcPr>
          <w:p w:rsidR="0093262E" w:rsidRPr="00D30701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D3070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D3070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1年（含）以上对外投资和管理</w:t>
            </w:r>
            <w:r w:rsidR="00FC1A54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Pr="00D3070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城建项目开发和管理经验;</w:t>
            </w:r>
          </w:p>
          <w:p w:rsidR="0093262E" w:rsidRPr="00D30701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D3070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D3070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具备良好的规划与统筹安排能力</w:t>
            </w:r>
            <w:r w:rsidR="00FC1A54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信息收集能力;</w:t>
            </w:r>
          </w:p>
          <w:p w:rsidR="0093262E" w:rsidRPr="00D30701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D3070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="00FC1A54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具备优秀的团队协作能力和经验</w:t>
            </w:r>
            <w:r w:rsidRPr="00D3070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及高效的部门内部和跨部门沟通能力和经验；</w:t>
            </w:r>
          </w:p>
          <w:p w:rsidR="0093262E" w:rsidRPr="00D30701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D3070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D3070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熟练运用word</w:t>
            </w:r>
            <w:r w:rsidR="00FC1A54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Pr="00D3070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excel</w:t>
            </w:r>
            <w:r w:rsidR="00FC1A54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Pr="00D3070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PPT</w:t>
            </w:r>
            <w:r w:rsidR="00FC1A54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Pr="00D3070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PS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等办公软件;</w:t>
            </w:r>
          </w:p>
          <w:p w:rsidR="0093262E" w:rsidRPr="00F31EE7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5</w:t>
            </w:r>
            <w:r w:rsidR="00550119" w:rsidRP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35周岁及以下（1985年</w:t>
            </w:r>
            <w:r w:rsidRPr="00550119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4</w:t>
            </w:r>
            <w:r w:rsidRP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月1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日以后出生）</w:t>
            </w:r>
            <w:r w:rsidR="000B3B6E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。</w:t>
            </w:r>
          </w:p>
        </w:tc>
      </w:tr>
      <w:tr w:rsidR="0093262E" w:rsidRPr="00D30701" w:rsidTr="0093262E">
        <w:trPr>
          <w:trHeight w:hRule="exact" w:val="3960"/>
        </w:trPr>
        <w:tc>
          <w:tcPr>
            <w:tcW w:w="1168" w:type="dxa"/>
            <w:vAlign w:val="center"/>
          </w:tcPr>
          <w:p w:rsidR="0093262E" w:rsidRPr="00D30701" w:rsidRDefault="0093262E" w:rsidP="00F73A5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D3070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苏州市吴越智博大数据科技有限公司</w:t>
            </w:r>
          </w:p>
        </w:tc>
        <w:tc>
          <w:tcPr>
            <w:tcW w:w="1134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项目经理</w:t>
            </w:r>
          </w:p>
        </w:tc>
        <w:tc>
          <w:tcPr>
            <w:tcW w:w="709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</w:t>
            </w: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93262E" w:rsidRPr="00D30701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235F6D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计算机类</w:t>
            </w:r>
            <w:r w:rsidR="00D3662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Pr="00235F6D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电子信息类</w:t>
            </w:r>
            <w:r w:rsidR="00D3662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Pr="00235F6D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855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2" w:type="dxa"/>
            <w:vAlign w:val="center"/>
          </w:tcPr>
          <w:p w:rsidR="0093262E" w:rsidRPr="00235F6D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235F6D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1.计算机类</w:t>
            </w:r>
            <w:r w:rsidR="00FC1A54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Pr="00235F6D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电子信息类</w:t>
            </w:r>
            <w:r w:rsidR="00FC1A54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="00733C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管理类专业，</w:t>
            </w:r>
            <w:r w:rsidRPr="00235F6D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本科以上学历，5</w:t>
            </w:r>
            <w:r w:rsidR="00EA52BD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年</w:t>
            </w:r>
            <w:r w:rsidRPr="00235F6D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以上项目管理经验，熟练掌握项目管理方法以及项目管理工具；</w:t>
            </w:r>
          </w:p>
          <w:p w:rsidR="0093262E" w:rsidRPr="00235F6D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235F6D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2.熟悉政府采购招投标流程，主持过招投标工作，参与过大型项目的招投标；</w:t>
            </w:r>
          </w:p>
          <w:p w:rsidR="0093262E" w:rsidRPr="00235F6D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235F6D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3.具备优秀的领导能力，团队协作能力和组织执行能力，能够独立带领团队达成项目目标；</w:t>
            </w:r>
          </w:p>
          <w:p w:rsidR="0093262E" w:rsidRPr="00235F6D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235F6D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4.具有良好的需求控制</w:t>
            </w:r>
            <w:r w:rsidR="00FC1A54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Pr="00235F6D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成本控制</w:t>
            </w:r>
            <w:r w:rsidR="00FC1A54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Pr="00235F6D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进度控制能力；</w:t>
            </w:r>
          </w:p>
          <w:p w:rsidR="0093262E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235F6D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5.具有良好的沟通协调能力，能与合作伙伴</w:t>
            </w:r>
            <w:r w:rsidR="00FC1A54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Pr="00235F6D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项目组成员保持良好的沟通；</w:t>
            </w:r>
          </w:p>
          <w:p w:rsidR="0093262E" w:rsidRPr="00235F6D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.40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周岁及以下（1</w:t>
            </w: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980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年4月1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日以后出生</w:t>
            </w:r>
            <w:r w:rsidR="00550119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）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;</w:t>
            </w:r>
          </w:p>
          <w:p w:rsidR="0093262E" w:rsidRPr="00D30701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7</w:t>
            </w:r>
            <w:r w:rsidRPr="00235F6D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.拥有PMP</w:t>
            </w:r>
            <w:r w:rsidR="000B3B6E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，软考相关证书优先考虑。</w:t>
            </w:r>
          </w:p>
        </w:tc>
      </w:tr>
      <w:tr w:rsidR="0093262E" w:rsidRPr="00444063" w:rsidTr="0093262E">
        <w:trPr>
          <w:trHeight w:hRule="exact" w:val="2420"/>
        </w:trPr>
        <w:tc>
          <w:tcPr>
            <w:tcW w:w="1168" w:type="dxa"/>
            <w:vAlign w:val="center"/>
          </w:tcPr>
          <w:p w:rsidR="0093262E" w:rsidRPr="00D30701" w:rsidRDefault="0093262E" w:rsidP="00F73A5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61DB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吴江东太湖旅游综合管理有限公司</w:t>
            </w:r>
          </w:p>
        </w:tc>
        <w:tc>
          <w:tcPr>
            <w:tcW w:w="1134" w:type="dxa"/>
            <w:vAlign w:val="center"/>
          </w:tcPr>
          <w:p w:rsidR="0093262E" w:rsidRPr="00362257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61DB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新媒体运营</w:t>
            </w:r>
            <w:r w:rsidR="00503F95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主管</w:t>
            </w:r>
          </w:p>
        </w:tc>
        <w:tc>
          <w:tcPr>
            <w:tcW w:w="709" w:type="dxa"/>
            <w:vAlign w:val="center"/>
          </w:tcPr>
          <w:p w:rsidR="0093262E" w:rsidRDefault="0093262E" w:rsidP="00CD40B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</w:t>
            </w:r>
            <w:r w:rsidR="00CD40BE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3262E" w:rsidRPr="00362257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61DB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61DB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中文</w:t>
            </w:r>
            <w:r w:rsidR="00D3662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Pr="00961DB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新闻</w:t>
            </w:r>
            <w:r w:rsidR="00D3662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Pr="00961DB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广告</w:t>
            </w:r>
            <w:r w:rsidR="00D3662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="008414B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艺术、</w:t>
            </w:r>
            <w:r w:rsidRPr="00961DB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市场营销类</w:t>
            </w:r>
          </w:p>
        </w:tc>
        <w:tc>
          <w:tcPr>
            <w:tcW w:w="855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2" w:type="dxa"/>
            <w:vAlign w:val="center"/>
          </w:tcPr>
          <w:p w:rsidR="0093262E" w:rsidRPr="00961DB9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61DB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961DB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具有三年及以上景区</w:t>
            </w:r>
            <w:r w:rsidR="00FC1A54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Pr="00961DB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商业或大型活动微博微信或APP推广运营经验，熟悉各种社交平台；</w:t>
            </w:r>
          </w:p>
          <w:p w:rsidR="00CD4C7E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61DB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961DB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具有一定的广告</w:t>
            </w:r>
            <w:r w:rsidR="00FC1A54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、平面设计、</w:t>
            </w:r>
            <w:r w:rsidRPr="00961DB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美术基础</w:t>
            </w:r>
            <w:r w:rsidR="00CD4C7E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；</w:t>
            </w:r>
          </w:p>
          <w:p w:rsidR="00CD4C7E" w:rsidRDefault="00E53C69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="00CD4C7E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="0093262E" w:rsidRPr="00961DB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熟练掌握office</w:t>
            </w:r>
            <w:r w:rsidR="00FC1A54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="0093262E" w:rsidRPr="00961DB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设计软件运用技巧</w:t>
            </w:r>
            <w:r w:rsidR="00FC1A54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；</w:t>
            </w:r>
          </w:p>
          <w:p w:rsidR="0093262E" w:rsidRDefault="00E53C69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4</w:t>
            </w:r>
            <w:r w:rsidR="00CD4C7E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有工作责任心，吃苦耐劳</w:t>
            </w:r>
            <w:r w:rsidR="00FC1A54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，</w:t>
            </w:r>
            <w:r w:rsidR="00CD4C7E" w:rsidRPr="00961DB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沟通</w:t>
            </w:r>
            <w:r w:rsidR="00FC1A54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能力良好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;</w:t>
            </w:r>
          </w:p>
          <w:p w:rsidR="0093262E" w:rsidRPr="00362257" w:rsidRDefault="00E53C69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5</w:t>
            </w:r>
            <w:r w:rsidR="00550119" w:rsidRP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="0093262E" w:rsidRP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35周岁及以下（1985年</w:t>
            </w:r>
            <w:r w:rsidR="0093262E" w:rsidRPr="00550119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4</w:t>
            </w:r>
            <w:r w:rsidR="0093262E" w:rsidRP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月1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日以后出生）</w:t>
            </w:r>
            <w:r w:rsidR="000B3B6E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。</w:t>
            </w:r>
          </w:p>
        </w:tc>
      </w:tr>
      <w:tr w:rsidR="0093262E" w:rsidRPr="00444063" w:rsidTr="00F73A5C">
        <w:trPr>
          <w:trHeight w:hRule="exact" w:val="2587"/>
        </w:trPr>
        <w:tc>
          <w:tcPr>
            <w:tcW w:w="1168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61DB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lastRenderedPageBreak/>
              <w:t>吴江东太湖旅游综合管理有限公司</w:t>
            </w:r>
          </w:p>
        </w:tc>
        <w:tc>
          <w:tcPr>
            <w:tcW w:w="1134" w:type="dxa"/>
            <w:vAlign w:val="center"/>
          </w:tcPr>
          <w:p w:rsidR="0093262E" w:rsidRPr="00961DB9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运营主管</w:t>
            </w:r>
          </w:p>
        </w:tc>
        <w:tc>
          <w:tcPr>
            <w:tcW w:w="709" w:type="dxa"/>
            <w:vAlign w:val="center"/>
          </w:tcPr>
          <w:p w:rsidR="0093262E" w:rsidRDefault="0093262E" w:rsidP="00CD40B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</w:t>
            </w:r>
            <w:r w:rsidR="00CD40BE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3262E" w:rsidRPr="00961DB9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93262E" w:rsidRPr="00961DB9" w:rsidRDefault="006A6617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855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2" w:type="dxa"/>
            <w:vAlign w:val="center"/>
          </w:tcPr>
          <w:p w:rsidR="0093262E" w:rsidRPr="001D681C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1D681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1D681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具有3年以上项目日常运营管理经验；</w:t>
            </w:r>
          </w:p>
          <w:p w:rsidR="0093262E" w:rsidRPr="001D681C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1D681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1D681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具备良好的沟通表达及协调组织能力，有突发事件处理能力；</w:t>
            </w:r>
          </w:p>
          <w:p w:rsidR="0093262E" w:rsidRPr="001D681C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1D681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1D681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工作态度积极，责任心强，承压力强；</w:t>
            </w:r>
          </w:p>
          <w:p w:rsidR="0093262E" w:rsidRPr="001D681C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1D681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1D681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熟悉喷泉的工作原理者优先；</w:t>
            </w:r>
          </w:p>
          <w:p w:rsidR="0093262E" w:rsidRPr="00961DB9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1D681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5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35周岁及以下（1985年</w:t>
            </w:r>
            <w:r w:rsidRPr="00550119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4</w:t>
            </w:r>
            <w:r w:rsidRP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月1</w:t>
            </w:r>
            <w:r w:rsidR="000B3B6E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日以后出生）。</w:t>
            </w:r>
          </w:p>
        </w:tc>
      </w:tr>
      <w:tr w:rsidR="0093262E" w:rsidRPr="00444063" w:rsidTr="0093262E">
        <w:trPr>
          <w:trHeight w:hRule="exact" w:val="2236"/>
        </w:trPr>
        <w:tc>
          <w:tcPr>
            <w:tcW w:w="1168" w:type="dxa"/>
            <w:vAlign w:val="center"/>
          </w:tcPr>
          <w:p w:rsidR="0093262E" w:rsidRPr="00961DB9" w:rsidRDefault="0093262E" w:rsidP="00F73A5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61DB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吴江东太湖旅游综合管理有限公司</w:t>
            </w:r>
          </w:p>
        </w:tc>
        <w:tc>
          <w:tcPr>
            <w:tcW w:w="1134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B3B6E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物业专员</w:t>
            </w:r>
          </w:p>
        </w:tc>
        <w:tc>
          <w:tcPr>
            <w:tcW w:w="709" w:type="dxa"/>
            <w:vAlign w:val="center"/>
          </w:tcPr>
          <w:p w:rsidR="0093262E" w:rsidRDefault="0093262E" w:rsidP="00CD40B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</w:t>
            </w:r>
            <w:r w:rsidR="00CD40BE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93262E" w:rsidRPr="00961DB9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03D9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法律类</w:t>
            </w:r>
            <w:r w:rsidR="00D3662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="006A661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855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4322" w:type="dxa"/>
            <w:vAlign w:val="center"/>
          </w:tcPr>
          <w:p w:rsidR="0093262E" w:rsidRPr="00003D96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03D9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003D9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1年以上项目综合协调管理相关经验；</w:t>
            </w:r>
          </w:p>
          <w:p w:rsidR="0093262E" w:rsidRPr="00003D96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03D9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003D9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较强的客户服务意识，良好的沟通表达能力；</w:t>
            </w:r>
          </w:p>
          <w:p w:rsidR="0093262E" w:rsidRPr="00961DB9" w:rsidRDefault="0093262E" w:rsidP="000A11E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03D9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003D9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抗压能力强</w:t>
            </w:r>
            <w:r w:rsidR="000B3B6E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。</w:t>
            </w:r>
          </w:p>
        </w:tc>
      </w:tr>
      <w:tr w:rsidR="0093262E" w:rsidRPr="00444063" w:rsidTr="00F73A5C">
        <w:trPr>
          <w:trHeight w:hRule="exact" w:val="2587"/>
        </w:trPr>
        <w:tc>
          <w:tcPr>
            <w:tcW w:w="1168" w:type="dxa"/>
            <w:vAlign w:val="center"/>
          </w:tcPr>
          <w:p w:rsidR="0093262E" w:rsidRPr="00961DB9" w:rsidRDefault="0093262E" w:rsidP="00F73A5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61DB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苏州市吴江城市商业管理有限公司</w:t>
            </w:r>
          </w:p>
        </w:tc>
        <w:tc>
          <w:tcPr>
            <w:tcW w:w="1134" w:type="dxa"/>
            <w:vAlign w:val="center"/>
          </w:tcPr>
          <w:p w:rsidR="0093262E" w:rsidRDefault="009B3BE6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营运</w:t>
            </w:r>
            <w:r w:rsidR="0093262E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主管</w:t>
            </w:r>
          </w:p>
        </w:tc>
        <w:tc>
          <w:tcPr>
            <w:tcW w:w="709" w:type="dxa"/>
            <w:vAlign w:val="center"/>
          </w:tcPr>
          <w:p w:rsidR="0093262E" w:rsidRDefault="0093262E" w:rsidP="00CD40B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</w:t>
            </w:r>
            <w:r w:rsidR="00CD40BE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93262E" w:rsidRPr="00961DB9" w:rsidRDefault="009B3BE6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855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2" w:type="dxa"/>
            <w:vAlign w:val="center"/>
          </w:tcPr>
          <w:p w:rsidR="00982B09" w:rsidRPr="00982B09" w:rsidRDefault="00982B09" w:rsidP="00982B0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82B0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982B0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3年以上购物中心租户管理相关工作经验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;</w:t>
            </w:r>
          </w:p>
          <w:p w:rsidR="00982B09" w:rsidRPr="00982B09" w:rsidRDefault="00982B09" w:rsidP="00982B0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82B0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.熟悉商业地产及零售行业运作,</w:t>
            </w:r>
            <w:r w:rsidRPr="00982B0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熟练运用办公软件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;</w:t>
            </w:r>
          </w:p>
          <w:p w:rsidR="0093262E" w:rsidRDefault="00982B09" w:rsidP="00982B0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82B0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.良好的沟通协调能力，能承受压力，把握关键问题快速解决;</w:t>
            </w:r>
          </w:p>
          <w:p w:rsidR="00982B09" w:rsidRPr="00961DB9" w:rsidRDefault="00982B09" w:rsidP="00982B0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4.</w:t>
            </w:r>
            <w:r w:rsidRPr="00003D9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35周岁及以下（1985年</w:t>
            </w: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4</w:t>
            </w:r>
            <w:r w:rsidRPr="00003D9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月1</w:t>
            </w:r>
            <w:r w:rsidR="007D6E6D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日以后出生）</w:t>
            </w:r>
            <w:r w:rsidR="000B3B6E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。</w:t>
            </w:r>
          </w:p>
        </w:tc>
      </w:tr>
      <w:tr w:rsidR="0093262E" w:rsidRPr="00444063" w:rsidTr="00F73A5C">
        <w:trPr>
          <w:trHeight w:hRule="exact" w:val="2587"/>
        </w:trPr>
        <w:tc>
          <w:tcPr>
            <w:tcW w:w="1168" w:type="dxa"/>
            <w:vAlign w:val="center"/>
          </w:tcPr>
          <w:p w:rsidR="0093262E" w:rsidRPr="00961DB9" w:rsidRDefault="0093262E" w:rsidP="00F73A5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招商公司</w:t>
            </w:r>
          </w:p>
        </w:tc>
        <w:tc>
          <w:tcPr>
            <w:tcW w:w="1134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招商经理</w:t>
            </w:r>
          </w:p>
        </w:tc>
        <w:tc>
          <w:tcPr>
            <w:tcW w:w="709" w:type="dxa"/>
            <w:vAlign w:val="center"/>
          </w:tcPr>
          <w:p w:rsidR="0093262E" w:rsidRDefault="0093262E" w:rsidP="00CD40B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</w:t>
            </w:r>
            <w:r w:rsidR="00CD40BE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109F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93262E" w:rsidRPr="00961DB9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109F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工商管理</w:t>
            </w:r>
            <w:r w:rsidR="00D3662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Pr="000109F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市场营销</w:t>
            </w:r>
            <w:r w:rsidR="00D3662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Pr="000109F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工程管理类</w:t>
            </w:r>
          </w:p>
        </w:tc>
        <w:tc>
          <w:tcPr>
            <w:tcW w:w="855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2" w:type="dxa"/>
            <w:vAlign w:val="center"/>
          </w:tcPr>
          <w:p w:rsidR="0093262E" w:rsidRPr="000109F7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109F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0109F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具备6年以上商业地产或购物中心从业经验，其中3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年以上专业招商经验（购物中心</w:t>
            </w:r>
            <w:r w:rsidR="0072513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高端百货</w:t>
            </w:r>
            <w:r w:rsidR="0072513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大型文旅商业街项目优先，</w:t>
            </w:r>
            <w:r w:rsidRPr="000109F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专业市场</w:t>
            </w:r>
            <w:r w:rsidR="0072513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Pr="000109F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小商品市场</w:t>
            </w:r>
            <w:r w:rsidR="0072513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科技园等业态不考虑）;</w:t>
            </w:r>
          </w:p>
          <w:p w:rsidR="0093262E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109F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0109F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深入了解商业地产行业动态，具备极其丰富的商户资源和谈判经验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;</w:t>
            </w:r>
            <w:r w:rsidRPr="000109F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 xml:space="preserve">　</w:t>
            </w:r>
          </w:p>
          <w:p w:rsidR="0093262E" w:rsidRPr="00961DB9" w:rsidRDefault="0093262E" w:rsidP="00F73A5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="0055011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003D9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35周岁及以下（1985年</w:t>
            </w: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4</w:t>
            </w:r>
            <w:r w:rsidRPr="00003D9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月1</w:t>
            </w:r>
            <w:r w:rsidR="000B3B6E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日以后出生）。</w:t>
            </w:r>
          </w:p>
        </w:tc>
      </w:tr>
      <w:tr w:rsidR="00CD40BE" w:rsidRPr="00444063" w:rsidTr="00572EF6">
        <w:trPr>
          <w:trHeight w:hRule="exact" w:val="3328"/>
        </w:trPr>
        <w:tc>
          <w:tcPr>
            <w:tcW w:w="1168" w:type="dxa"/>
            <w:vAlign w:val="center"/>
          </w:tcPr>
          <w:p w:rsidR="00CD40BE" w:rsidRDefault="00CD40BE" w:rsidP="00F73A5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苏州乐泊车联运营管理有限公司</w:t>
            </w:r>
          </w:p>
        </w:tc>
        <w:tc>
          <w:tcPr>
            <w:tcW w:w="1134" w:type="dxa"/>
            <w:vAlign w:val="center"/>
          </w:tcPr>
          <w:p w:rsidR="00CD40BE" w:rsidRDefault="00CD40B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客服</w:t>
            </w:r>
          </w:p>
        </w:tc>
        <w:tc>
          <w:tcPr>
            <w:tcW w:w="709" w:type="dxa"/>
            <w:vAlign w:val="center"/>
          </w:tcPr>
          <w:p w:rsidR="00CD40BE" w:rsidRDefault="00CD40BE" w:rsidP="00CD40B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</w:t>
            </w: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:rsidR="00CD40BE" w:rsidRDefault="00CD40B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D40BE" w:rsidRPr="000109F7" w:rsidRDefault="00572EF6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vAlign w:val="center"/>
          </w:tcPr>
          <w:p w:rsidR="00CD40BE" w:rsidRPr="000109F7" w:rsidRDefault="00572EF6" w:rsidP="00572EF6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中文文秘类</w:t>
            </w:r>
            <w:r w:rsidR="00D3662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管理类</w:t>
            </w:r>
            <w:r w:rsidR="00D3662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经济类</w:t>
            </w:r>
            <w:r w:rsidR="00D3662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商务贸易类</w:t>
            </w:r>
            <w:r w:rsidR="00D3662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财务财会类</w:t>
            </w:r>
            <w:r w:rsidR="00D3662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统计类</w:t>
            </w:r>
            <w:r w:rsidR="00D3662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bookmarkStart w:id="0" w:name="_GoBack"/>
            <w:bookmarkEnd w:id="0"/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855" w:type="dxa"/>
            <w:vAlign w:val="center"/>
          </w:tcPr>
          <w:p w:rsidR="00CD40BE" w:rsidRDefault="00572EF6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2" w:type="dxa"/>
            <w:vAlign w:val="center"/>
          </w:tcPr>
          <w:p w:rsidR="00572EF6" w:rsidRPr="00572EF6" w:rsidRDefault="00192B45" w:rsidP="00572EF6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1</w:t>
            </w:r>
            <w:r w:rsidR="00572EF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="00572EF6" w:rsidRPr="00572EF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1年（含）以上客服工作经验（优秀者可放宽）；</w:t>
            </w:r>
          </w:p>
          <w:p w:rsidR="00572EF6" w:rsidRPr="00572EF6" w:rsidRDefault="00192B45" w:rsidP="00572EF6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2</w:t>
            </w:r>
            <w:r w:rsidR="00572EF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="00572EF6" w:rsidRPr="00572EF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熟悉计算机操作，普通话流利，较强的表达能力和沟通能力，口齿清楚无口音，声线有亲和力，能听懂本地方言，具备客户服务意识；</w:t>
            </w:r>
          </w:p>
          <w:p w:rsidR="00572EF6" w:rsidRPr="00572EF6" w:rsidRDefault="00192B45" w:rsidP="00572EF6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="00572EF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="00572EF6" w:rsidRPr="00572EF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性格开朗，积极主动，有一定抗压能力;</w:t>
            </w:r>
          </w:p>
          <w:p w:rsidR="00572EF6" w:rsidRPr="00572EF6" w:rsidRDefault="00192B45" w:rsidP="00572EF6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4</w:t>
            </w:r>
            <w:r w:rsidR="00572EF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="00572EF6" w:rsidRPr="00572EF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能够适应排班及轮班轮休工作制度，能接受上晚班；</w:t>
            </w:r>
          </w:p>
          <w:p w:rsidR="00CD40BE" w:rsidRDefault="00192B45" w:rsidP="00572EF6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5</w:t>
            </w:r>
            <w:r w:rsidR="00572EF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.有电话客服经验者优先，男性优先；</w:t>
            </w:r>
          </w:p>
          <w:p w:rsidR="00572EF6" w:rsidRPr="000109F7" w:rsidRDefault="00192B45" w:rsidP="00572EF6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6</w:t>
            </w:r>
            <w:r w:rsidR="00572EF6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="00572EF6" w:rsidRPr="00003D9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35周岁及以下（1985年</w:t>
            </w:r>
            <w:r w:rsidR="00572EF6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4</w:t>
            </w:r>
            <w:r w:rsidR="00572EF6" w:rsidRPr="00003D9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月1</w:t>
            </w:r>
            <w:r w:rsidR="00572EF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日以后出生）。</w:t>
            </w:r>
          </w:p>
        </w:tc>
      </w:tr>
    </w:tbl>
    <w:p w:rsidR="0093262E" w:rsidRDefault="0093262E"/>
    <w:p w:rsidR="00CD40BE" w:rsidRPr="00192B45" w:rsidRDefault="00CD40BE"/>
    <w:sectPr w:rsidR="00CD40BE" w:rsidRPr="00192B45" w:rsidSect="002C4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0B7" w:rsidRDefault="00ED30B7" w:rsidP="006A6617">
      <w:r>
        <w:separator/>
      </w:r>
    </w:p>
  </w:endnote>
  <w:endnote w:type="continuationSeparator" w:id="1">
    <w:p w:rsidR="00ED30B7" w:rsidRDefault="00ED30B7" w:rsidP="006A6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0B7" w:rsidRDefault="00ED30B7" w:rsidP="006A6617">
      <w:r>
        <w:separator/>
      </w:r>
    </w:p>
  </w:footnote>
  <w:footnote w:type="continuationSeparator" w:id="1">
    <w:p w:rsidR="00ED30B7" w:rsidRDefault="00ED30B7" w:rsidP="006A66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62E"/>
    <w:rsid w:val="000A11E3"/>
    <w:rsid w:val="000B3B6E"/>
    <w:rsid w:val="00192B45"/>
    <w:rsid w:val="002C476E"/>
    <w:rsid w:val="004B0164"/>
    <w:rsid w:val="004B791C"/>
    <w:rsid w:val="00503F95"/>
    <w:rsid w:val="00523106"/>
    <w:rsid w:val="00550119"/>
    <w:rsid w:val="00572EF6"/>
    <w:rsid w:val="00643516"/>
    <w:rsid w:val="006A6617"/>
    <w:rsid w:val="00725133"/>
    <w:rsid w:val="00727170"/>
    <w:rsid w:val="00733C19"/>
    <w:rsid w:val="007416B6"/>
    <w:rsid w:val="007D6E6D"/>
    <w:rsid w:val="008414B0"/>
    <w:rsid w:val="008668C7"/>
    <w:rsid w:val="008A6CA0"/>
    <w:rsid w:val="0093262E"/>
    <w:rsid w:val="00963BBE"/>
    <w:rsid w:val="00982B09"/>
    <w:rsid w:val="009B3BE6"/>
    <w:rsid w:val="00CD40BE"/>
    <w:rsid w:val="00CD4C7E"/>
    <w:rsid w:val="00D36620"/>
    <w:rsid w:val="00D94AF6"/>
    <w:rsid w:val="00E07C36"/>
    <w:rsid w:val="00E16307"/>
    <w:rsid w:val="00E53C69"/>
    <w:rsid w:val="00EA52BD"/>
    <w:rsid w:val="00ED30B7"/>
    <w:rsid w:val="00F70354"/>
    <w:rsid w:val="00FC1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6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6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6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258</Words>
  <Characters>1476</Characters>
  <Application>Microsoft Office Word</Application>
  <DocSecurity>0</DocSecurity>
  <Lines>12</Lines>
  <Paragraphs>3</Paragraphs>
  <ScaleCrop>false</ScaleCrop>
  <Company>Microsoft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uuuuu</dc:creator>
  <cp:lastModifiedBy>user</cp:lastModifiedBy>
  <cp:revision>30</cp:revision>
  <cp:lastPrinted>2021-04-09T02:08:00Z</cp:lastPrinted>
  <dcterms:created xsi:type="dcterms:W3CDTF">2021-04-09T02:06:00Z</dcterms:created>
  <dcterms:modified xsi:type="dcterms:W3CDTF">2021-04-12T07:43:00Z</dcterms:modified>
</cp:coreProperties>
</file>