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4C0ABD">
      <w:pPr>
        <w:spacing w:before="1" w:line="173" w:lineRule="auto"/>
        <w:ind w:left="3877"/>
        <w:outlineLvl w:val="0"/>
        <w:rPr>
          <w:rFonts w:ascii="微软雅黑" w:hAnsi="微软雅黑" w:eastAsia="微软雅黑" w:cs="微软雅黑"/>
          <w:sz w:val="25"/>
          <w:szCs w:val="25"/>
        </w:rPr>
      </w:pPr>
      <w:r>
        <w:rPr>
          <w:rFonts w:ascii="微软雅黑" w:hAnsi="微软雅黑" w:eastAsia="微软雅黑" w:cs="微软雅黑"/>
          <w:spacing w:val="4"/>
          <w:sz w:val="25"/>
          <w:szCs w:val="25"/>
        </w:rPr>
        <w:t>苏州市吴江</w:t>
      </w:r>
      <w:r>
        <w:rPr>
          <w:rFonts w:hint="eastAsia" w:ascii="微软雅黑" w:hAnsi="微软雅黑" w:eastAsia="微软雅黑" w:cs="微软雅黑"/>
          <w:spacing w:val="4"/>
          <w:sz w:val="25"/>
          <w:szCs w:val="25"/>
          <w:lang w:val="en-US" w:eastAsia="zh-CN"/>
        </w:rPr>
        <w:t>水务集团</w:t>
      </w:r>
      <w:r>
        <w:rPr>
          <w:rFonts w:ascii="微软雅黑" w:hAnsi="微软雅黑" w:eastAsia="微软雅黑" w:cs="微软雅黑"/>
          <w:spacing w:val="4"/>
          <w:sz w:val="25"/>
          <w:szCs w:val="25"/>
        </w:rPr>
        <w:t>有限公司下属公司</w:t>
      </w:r>
      <w:r>
        <w:rPr>
          <w:rFonts w:hint="eastAsia" w:ascii="微软雅黑" w:hAnsi="微软雅黑" w:eastAsia="微软雅黑" w:cs="微软雅黑"/>
          <w:spacing w:val="4"/>
          <w:sz w:val="25"/>
          <w:szCs w:val="25"/>
          <w:lang w:val="en-US" w:eastAsia="zh-CN"/>
        </w:rPr>
        <w:t>人才引进</w:t>
      </w:r>
      <w:r>
        <w:rPr>
          <w:rFonts w:ascii="微软雅黑" w:hAnsi="微软雅黑" w:eastAsia="微软雅黑" w:cs="微软雅黑"/>
          <w:spacing w:val="4"/>
          <w:sz w:val="25"/>
          <w:szCs w:val="25"/>
        </w:rPr>
        <w:t>岗位简介表</w:t>
      </w:r>
    </w:p>
    <w:tbl>
      <w:tblPr>
        <w:tblStyle w:val="4"/>
        <w:tblW w:w="14848"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04"/>
        <w:gridCol w:w="1035"/>
        <w:gridCol w:w="872"/>
        <w:gridCol w:w="764"/>
        <w:gridCol w:w="1814"/>
        <w:gridCol w:w="2618"/>
        <w:gridCol w:w="6341"/>
      </w:tblGrid>
      <w:tr w14:paraId="64531A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6" w:hRule="atLeast"/>
        </w:trPr>
        <w:tc>
          <w:tcPr>
            <w:tcW w:w="1404" w:type="dxa"/>
            <w:tcBorders>
              <w:bottom w:val="single" w:color="auto" w:sz="4" w:space="0"/>
            </w:tcBorders>
            <w:vAlign w:val="top"/>
          </w:tcPr>
          <w:p w14:paraId="090C9858">
            <w:pPr>
              <w:pStyle w:val="5"/>
              <w:spacing w:before="194" w:line="228" w:lineRule="auto"/>
              <w:jc w:val="center"/>
              <w:rPr>
                <w:sz w:val="13"/>
                <w:szCs w:val="13"/>
              </w:rPr>
            </w:pPr>
            <w:r>
              <w:rPr>
                <w:rFonts w:hint="eastAsia"/>
                <w:spacing w:val="7"/>
                <w:sz w:val="13"/>
                <w:szCs w:val="13"/>
                <w:lang w:val="en-US" w:eastAsia="zh-CN"/>
              </w:rPr>
              <w:t>招聘</w:t>
            </w:r>
            <w:r>
              <w:rPr>
                <w:spacing w:val="7"/>
                <w:sz w:val="13"/>
                <w:szCs w:val="13"/>
              </w:rPr>
              <w:t>单位</w:t>
            </w:r>
          </w:p>
        </w:tc>
        <w:tc>
          <w:tcPr>
            <w:tcW w:w="1035" w:type="dxa"/>
            <w:tcBorders>
              <w:bottom w:val="single" w:color="auto" w:sz="4" w:space="0"/>
            </w:tcBorders>
            <w:vAlign w:val="top"/>
          </w:tcPr>
          <w:p w14:paraId="14D55751">
            <w:pPr>
              <w:pStyle w:val="5"/>
              <w:spacing w:before="194" w:line="228" w:lineRule="auto"/>
              <w:ind w:left="209"/>
              <w:jc w:val="center"/>
              <w:rPr>
                <w:sz w:val="13"/>
                <w:szCs w:val="13"/>
              </w:rPr>
            </w:pPr>
            <w:r>
              <w:rPr>
                <w:rFonts w:hint="eastAsia"/>
                <w:spacing w:val="7"/>
                <w:sz w:val="13"/>
                <w:szCs w:val="13"/>
                <w:lang w:val="en-US" w:eastAsia="zh-CN"/>
              </w:rPr>
              <w:t>招聘</w:t>
            </w:r>
            <w:r>
              <w:rPr>
                <w:spacing w:val="7"/>
                <w:sz w:val="13"/>
                <w:szCs w:val="13"/>
              </w:rPr>
              <w:t>岗位</w:t>
            </w:r>
          </w:p>
        </w:tc>
        <w:tc>
          <w:tcPr>
            <w:tcW w:w="872" w:type="dxa"/>
            <w:tcBorders>
              <w:bottom w:val="single" w:color="auto" w:sz="4" w:space="0"/>
            </w:tcBorders>
            <w:vAlign w:val="top"/>
          </w:tcPr>
          <w:p w14:paraId="55EAD87E">
            <w:pPr>
              <w:pStyle w:val="5"/>
              <w:spacing w:before="108" w:line="242" w:lineRule="auto"/>
              <w:ind w:left="244" w:right="240" w:firstLine="1"/>
              <w:jc w:val="center"/>
              <w:rPr>
                <w:sz w:val="13"/>
                <w:szCs w:val="13"/>
              </w:rPr>
            </w:pPr>
            <w:r>
              <w:rPr>
                <w:spacing w:val="5"/>
                <w:sz w:val="13"/>
                <w:szCs w:val="13"/>
              </w:rPr>
              <w:t>招聘人数</w:t>
            </w:r>
          </w:p>
        </w:tc>
        <w:tc>
          <w:tcPr>
            <w:tcW w:w="764" w:type="dxa"/>
            <w:tcBorders>
              <w:bottom w:val="single" w:color="auto" w:sz="4" w:space="0"/>
            </w:tcBorders>
            <w:vAlign w:val="top"/>
          </w:tcPr>
          <w:p w14:paraId="6B8C3836">
            <w:pPr>
              <w:pStyle w:val="5"/>
              <w:spacing w:before="194" w:line="228" w:lineRule="auto"/>
              <w:ind w:left="109"/>
              <w:jc w:val="center"/>
              <w:rPr>
                <w:sz w:val="13"/>
                <w:szCs w:val="13"/>
              </w:rPr>
            </w:pPr>
            <w:r>
              <w:rPr>
                <w:spacing w:val="6"/>
                <w:sz w:val="13"/>
                <w:szCs w:val="13"/>
              </w:rPr>
              <w:t>开考比例</w:t>
            </w:r>
          </w:p>
        </w:tc>
        <w:tc>
          <w:tcPr>
            <w:tcW w:w="1814" w:type="dxa"/>
            <w:tcBorders>
              <w:bottom w:val="single" w:color="auto" w:sz="4" w:space="0"/>
            </w:tcBorders>
            <w:vAlign w:val="top"/>
          </w:tcPr>
          <w:p w14:paraId="7336B0A9">
            <w:pPr>
              <w:pStyle w:val="5"/>
              <w:spacing w:before="189" w:line="230" w:lineRule="auto"/>
              <w:ind w:left="200"/>
              <w:jc w:val="center"/>
              <w:rPr>
                <w:sz w:val="13"/>
                <w:szCs w:val="13"/>
              </w:rPr>
            </w:pPr>
            <w:r>
              <w:rPr>
                <w:spacing w:val="5"/>
                <w:sz w:val="13"/>
                <w:szCs w:val="13"/>
              </w:rPr>
              <w:t>学历要求</w:t>
            </w:r>
          </w:p>
        </w:tc>
        <w:tc>
          <w:tcPr>
            <w:tcW w:w="2618" w:type="dxa"/>
            <w:vAlign w:val="top"/>
          </w:tcPr>
          <w:p w14:paraId="16BE93F1">
            <w:pPr>
              <w:pStyle w:val="5"/>
              <w:spacing w:before="189" w:line="230" w:lineRule="auto"/>
              <w:ind w:left="285"/>
              <w:jc w:val="center"/>
              <w:rPr>
                <w:sz w:val="13"/>
                <w:szCs w:val="13"/>
              </w:rPr>
            </w:pPr>
            <w:r>
              <w:rPr>
                <w:spacing w:val="6"/>
                <w:sz w:val="13"/>
                <w:szCs w:val="13"/>
              </w:rPr>
              <w:t>专业要求</w:t>
            </w:r>
          </w:p>
        </w:tc>
        <w:tc>
          <w:tcPr>
            <w:tcW w:w="6341" w:type="dxa"/>
            <w:vAlign w:val="top"/>
          </w:tcPr>
          <w:p w14:paraId="41D27848">
            <w:pPr>
              <w:pStyle w:val="5"/>
              <w:spacing w:before="194" w:line="228" w:lineRule="auto"/>
              <w:jc w:val="center"/>
              <w:rPr>
                <w:sz w:val="13"/>
                <w:szCs w:val="13"/>
              </w:rPr>
            </w:pPr>
            <w:r>
              <w:rPr>
                <w:spacing w:val="7"/>
                <w:sz w:val="13"/>
                <w:szCs w:val="13"/>
              </w:rPr>
              <w:t>其他条件</w:t>
            </w:r>
          </w:p>
        </w:tc>
      </w:tr>
      <w:tr w14:paraId="372D48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2" w:hRule="atLeast"/>
        </w:trPr>
        <w:tc>
          <w:tcPr>
            <w:tcW w:w="1404" w:type="dxa"/>
            <w:tcBorders>
              <w:top w:val="single" w:color="auto" w:sz="4" w:space="0"/>
              <w:bottom w:val="single" w:color="auto" w:sz="4" w:space="0"/>
            </w:tcBorders>
            <w:vAlign w:val="top"/>
          </w:tcPr>
          <w:p w14:paraId="5EDB38DF">
            <w:pPr>
              <w:spacing w:line="241" w:lineRule="auto"/>
              <w:jc w:val="center"/>
              <w:rPr>
                <w:rFonts w:ascii="Arial"/>
                <w:sz w:val="21"/>
              </w:rPr>
            </w:pPr>
          </w:p>
          <w:p w14:paraId="0DD1AACC">
            <w:pPr>
              <w:spacing w:line="241" w:lineRule="auto"/>
              <w:jc w:val="center"/>
              <w:rPr>
                <w:rFonts w:ascii="Arial"/>
                <w:sz w:val="21"/>
              </w:rPr>
            </w:pPr>
          </w:p>
          <w:p w14:paraId="058FA65A">
            <w:pPr>
              <w:spacing w:line="241" w:lineRule="auto"/>
              <w:jc w:val="center"/>
              <w:rPr>
                <w:rFonts w:ascii="Arial"/>
                <w:sz w:val="21"/>
              </w:rPr>
            </w:pPr>
          </w:p>
          <w:p w14:paraId="6311A591">
            <w:pPr>
              <w:spacing w:line="241" w:lineRule="auto"/>
              <w:jc w:val="center"/>
              <w:rPr>
                <w:rFonts w:ascii="Arial"/>
                <w:sz w:val="21"/>
              </w:rPr>
            </w:pPr>
          </w:p>
          <w:p w14:paraId="630707CF">
            <w:pPr>
              <w:pStyle w:val="5"/>
              <w:spacing w:before="52" w:line="227" w:lineRule="auto"/>
              <w:ind w:right="86"/>
              <w:jc w:val="center"/>
            </w:pPr>
            <w:r>
              <w:rPr>
                <w:spacing w:val="1"/>
              </w:rPr>
              <w:t>苏州市</w:t>
            </w:r>
            <w:r>
              <w:rPr>
                <w:rFonts w:hint="eastAsia"/>
                <w:spacing w:val="1"/>
                <w:lang w:val="en-US" w:eastAsia="zh-CN"/>
              </w:rPr>
              <w:t>吴江再生水有限</w:t>
            </w:r>
            <w:r>
              <w:rPr>
                <w:spacing w:val="1"/>
              </w:rPr>
              <w:t>公司</w:t>
            </w:r>
          </w:p>
        </w:tc>
        <w:tc>
          <w:tcPr>
            <w:tcW w:w="1035" w:type="dxa"/>
            <w:tcBorders>
              <w:top w:val="single" w:color="auto" w:sz="4" w:space="0"/>
              <w:bottom w:val="single" w:color="auto" w:sz="4" w:space="0"/>
            </w:tcBorders>
            <w:vAlign w:val="top"/>
          </w:tcPr>
          <w:p w14:paraId="00D804A3">
            <w:pPr>
              <w:pStyle w:val="5"/>
              <w:spacing w:before="52" w:line="227" w:lineRule="auto"/>
              <w:ind w:right="37"/>
              <w:jc w:val="left"/>
              <w:rPr>
                <w:rFonts w:hint="eastAsia"/>
                <w:lang w:val="en-US" w:eastAsia="zh-CN"/>
              </w:rPr>
            </w:pPr>
          </w:p>
          <w:p w14:paraId="1E3FDB40">
            <w:pPr>
              <w:pStyle w:val="5"/>
              <w:spacing w:before="52" w:line="227" w:lineRule="auto"/>
              <w:ind w:right="37"/>
              <w:jc w:val="left"/>
              <w:rPr>
                <w:rFonts w:hint="eastAsia"/>
                <w:lang w:val="en-US" w:eastAsia="zh-CN"/>
              </w:rPr>
            </w:pPr>
          </w:p>
          <w:p w14:paraId="4A657F41">
            <w:pPr>
              <w:pStyle w:val="5"/>
              <w:spacing w:before="52" w:line="227" w:lineRule="auto"/>
              <w:ind w:right="37"/>
              <w:jc w:val="left"/>
              <w:rPr>
                <w:rFonts w:hint="eastAsia"/>
                <w:lang w:val="en-US" w:eastAsia="zh-CN"/>
              </w:rPr>
            </w:pPr>
          </w:p>
          <w:p w14:paraId="3D888198">
            <w:pPr>
              <w:pStyle w:val="5"/>
              <w:spacing w:before="52" w:line="227" w:lineRule="auto"/>
              <w:ind w:right="37"/>
              <w:jc w:val="left"/>
              <w:rPr>
                <w:rFonts w:hint="eastAsia"/>
                <w:lang w:val="en-US" w:eastAsia="zh-CN"/>
              </w:rPr>
            </w:pPr>
          </w:p>
          <w:p w14:paraId="48B16349">
            <w:pPr>
              <w:pStyle w:val="5"/>
              <w:spacing w:before="52" w:line="227" w:lineRule="auto"/>
              <w:ind w:right="37"/>
              <w:jc w:val="center"/>
              <w:rPr>
                <w:rFonts w:hint="default" w:eastAsia="FangSong_GB2312"/>
                <w:lang w:val="en-US" w:eastAsia="zh-CN"/>
              </w:rPr>
            </w:pPr>
            <w:r>
              <w:rPr>
                <w:rFonts w:hint="eastAsia"/>
                <w:lang w:val="en-US" w:eastAsia="zh-CN"/>
              </w:rPr>
              <w:t>副总经理</w:t>
            </w:r>
          </w:p>
        </w:tc>
        <w:tc>
          <w:tcPr>
            <w:tcW w:w="872" w:type="dxa"/>
            <w:tcBorders>
              <w:top w:val="single" w:color="auto" w:sz="4" w:space="0"/>
              <w:bottom w:val="single" w:color="auto" w:sz="4" w:space="0"/>
            </w:tcBorders>
            <w:vAlign w:val="top"/>
          </w:tcPr>
          <w:p w14:paraId="2DB7DA0F">
            <w:pPr>
              <w:spacing w:line="249" w:lineRule="auto"/>
              <w:jc w:val="center"/>
              <w:rPr>
                <w:rFonts w:ascii="Arial"/>
                <w:sz w:val="21"/>
              </w:rPr>
            </w:pPr>
          </w:p>
          <w:p w14:paraId="49AA1A67">
            <w:pPr>
              <w:spacing w:line="250" w:lineRule="auto"/>
              <w:jc w:val="center"/>
              <w:rPr>
                <w:rFonts w:ascii="Arial"/>
                <w:sz w:val="21"/>
              </w:rPr>
            </w:pPr>
          </w:p>
          <w:p w14:paraId="323690B8">
            <w:pPr>
              <w:spacing w:line="250" w:lineRule="auto"/>
              <w:jc w:val="center"/>
              <w:rPr>
                <w:rFonts w:ascii="Arial"/>
                <w:sz w:val="21"/>
              </w:rPr>
            </w:pPr>
          </w:p>
          <w:p w14:paraId="72DD2A9E">
            <w:pPr>
              <w:spacing w:line="250" w:lineRule="auto"/>
              <w:jc w:val="center"/>
              <w:rPr>
                <w:rFonts w:ascii="Arial"/>
                <w:sz w:val="21"/>
              </w:rPr>
            </w:pPr>
          </w:p>
          <w:p w14:paraId="63E682E8">
            <w:pPr>
              <w:pStyle w:val="5"/>
              <w:spacing w:before="52" w:line="217" w:lineRule="exact"/>
              <w:jc w:val="center"/>
            </w:pPr>
            <w:r>
              <w:t>1</w:t>
            </w:r>
          </w:p>
        </w:tc>
        <w:tc>
          <w:tcPr>
            <w:tcW w:w="764" w:type="dxa"/>
            <w:tcBorders>
              <w:top w:val="single" w:color="auto" w:sz="4" w:space="0"/>
              <w:bottom w:val="single" w:color="auto" w:sz="4" w:space="0"/>
            </w:tcBorders>
            <w:vAlign w:val="top"/>
          </w:tcPr>
          <w:p w14:paraId="77AE253A">
            <w:pPr>
              <w:spacing w:line="249" w:lineRule="auto"/>
              <w:jc w:val="center"/>
              <w:rPr>
                <w:rFonts w:ascii="Arial"/>
                <w:sz w:val="21"/>
              </w:rPr>
            </w:pPr>
          </w:p>
          <w:p w14:paraId="1C3DED63">
            <w:pPr>
              <w:spacing w:line="250" w:lineRule="auto"/>
              <w:jc w:val="center"/>
              <w:rPr>
                <w:rFonts w:ascii="Arial"/>
                <w:sz w:val="21"/>
              </w:rPr>
            </w:pPr>
          </w:p>
          <w:p w14:paraId="39456C84">
            <w:pPr>
              <w:spacing w:line="250" w:lineRule="auto"/>
              <w:jc w:val="center"/>
              <w:rPr>
                <w:rFonts w:ascii="Arial"/>
                <w:sz w:val="21"/>
              </w:rPr>
            </w:pPr>
          </w:p>
          <w:p w14:paraId="49207100">
            <w:pPr>
              <w:spacing w:line="250" w:lineRule="auto"/>
              <w:jc w:val="center"/>
              <w:rPr>
                <w:rFonts w:ascii="Arial"/>
                <w:sz w:val="21"/>
              </w:rPr>
            </w:pPr>
          </w:p>
          <w:p w14:paraId="3F3A2623">
            <w:pPr>
              <w:pStyle w:val="5"/>
              <w:spacing w:before="52" w:line="212" w:lineRule="exact"/>
              <w:jc w:val="center"/>
            </w:pPr>
            <w:r>
              <w:rPr>
                <w:spacing w:val="-3"/>
                <w:position w:val="1"/>
              </w:rPr>
              <w:t>1:3</w:t>
            </w:r>
          </w:p>
        </w:tc>
        <w:tc>
          <w:tcPr>
            <w:tcW w:w="1814" w:type="dxa"/>
            <w:tcBorders>
              <w:top w:val="single" w:color="auto" w:sz="4" w:space="0"/>
              <w:bottom w:val="single" w:color="auto" w:sz="4" w:space="0"/>
              <w:right w:val="single" w:color="auto" w:sz="4" w:space="0"/>
            </w:tcBorders>
            <w:vAlign w:val="top"/>
          </w:tcPr>
          <w:p w14:paraId="0A4C4FA7">
            <w:pPr>
              <w:spacing w:line="249" w:lineRule="auto"/>
              <w:jc w:val="center"/>
              <w:rPr>
                <w:rFonts w:ascii="Arial"/>
                <w:sz w:val="21"/>
              </w:rPr>
            </w:pPr>
          </w:p>
          <w:p w14:paraId="31C0DFA3">
            <w:pPr>
              <w:spacing w:line="250" w:lineRule="auto"/>
              <w:jc w:val="center"/>
              <w:rPr>
                <w:rFonts w:ascii="Arial"/>
                <w:sz w:val="21"/>
              </w:rPr>
            </w:pPr>
          </w:p>
          <w:p w14:paraId="7DDFFD37">
            <w:pPr>
              <w:pStyle w:val="5"/>
              <w:numPr>
                <w:ilvl w:val="0"/>
                <w:numId w:val="0"/>
              </w:numPr>
              <w:spacing w:before="2" w:line="218" w:lineRule="auto"/>
              <w:ind w:left="26" w:leftChars="0"/>
              <w:rPr>
                <w:rFonts w:hint="eastAsia"/>
              </w:rPr>
            </w:pPr>
            <w:r>
              <w:rPr>
                <w:rFonts w:hint="eastAsia"/>
              </w:rPr>
              <w:t>硕士研究生及以上</w:t>
            </w:r>
          </w:p>
          <w:p w14:paraId="33FE39FB">
            <w:pPr>
              <w:pStyle w:val="5"/>
              <w:numPr>
                <w:ilvl w:val="0"/>
                <w:numId w:val="0"/>
              </w:numPr>
              <w:spacing w:before="2" w:line="218" w:lineRule="auto"/>
              <w:ind w:left="26" w:leftChars="0"/>
              <w:rPr>
                <w:rFonts w:hint="eastAsia" w:eastAsia="FangSong_GB2312"/>
                <w:lang w:eastAsia="zh-CN"/>
              </w:rPr>
            </w:pPr>
            <w:r>
              <w:rPr>
                <w:rFonts w:hint="eastAsia"/>
              </w:rPr>
              <w:t>（10年及以上工作经验且具有与引进岗位相关的高级职称或高级职业资格的可以放宽学历要求为大学本科及以上）</w:t>
            </w:r>
          </w:p>
        </w:tc>
        <w:tc>
          <w:tcPr>
            <w:tcW w:w="2618" w:type="dxa"/>
            <w:tcBorders>
              <w:left w:val="single" w:color="auto" w:sz="4" w:space="0"/>
            </w:tcBorders>
            <w:vAlign w:val="top"/>
          </w:tcPr>
          <w:p w14:paraId="3CDA6DFB">
            <w:pPr>
              <w:spacing w:line="241" w:lineRule="auto"/>
              <w:rPr>
                <w:rFonts w:ascii="Arial"/>
                <w:sz w:val="21"/>
              </w:rPr>
            </w:pPr>
          </w:p>
          <w:p w14:paraId="64ADD5D8">
            <w:pPr>
              <w:pStyle w:val="5"/>
              <w:spacing w:before="52" w:line="227" w:lineRule="auto"/>
              <w:ind w:left="32" w:right="92" w:hanging="3"/>
              <w:jc w:val="both"/>
              <w:rPr>
                <w:rFonts w:hint="eastAsia"/>
              </w:rPr>
            </w:pPr>
          </w:p>
          <w:p w14:paraId="1F0A7BA7">
            <w:pPr>
              <w:pStyle w:val="5"/>
              <w:spacing w:before="52" w:line="227" w:lineRule="auto"/>
              <w:ind w:left="32" w:right="92" w:hanging="3"/>
              <w:jc w:val="both"/>
              <w:rPr>
                <w:rFonts w:hint="eastAsia"/>
              </w:rPr>
            </w:pPr>
            <w:r>
              <w:rPr>
                <w:rFonts w:hint="eastAsia"/>
              </w:rPr>
              <w:t>本科阶段专业：给水排水、给排水工程、给水排水工程、给排水科学与工程、环境工程、环境科学、环境科学与工程</w:t>
            </w:r>
          </w:p>
          <w:p w14:paraId="6AAA888B">
            <w:pPr>
              <w:pStyle w:val="5"/>
              <w:spacing w:before="52" w:line="227" w:lineRule="auto"/>
              <w:ind w:left="32" w:right="92" w:hanging="3"/>
              <w:jc w:val="both"/>
            </w:pPr>
            <w:r>
              <w:rPr>
                <w:rFonts w:hint="eastAsia"/>
              </w:rPr>
              <w:t>研究生阶段专业为：环境保护类、水利工程类</w:t>
            </w:r>
          </w:p>
        </w:tc>
        <w:tc>
          <w:tcPr>
            <w:tcW w:w="6341" w:type="dxa"/>
            <w:vAlign w:val="top"/>
          </w:tcPr>
          <w:p w14:paraId="146E7823">
            <w:pPr>
              <w:pStyle w:val="5"/>
              <w:spacing w:before="2" w:line="218" w:lineRule="auto"/>
              <w:ind w:left="26"/>
              <w:rPr>
                <w:rFonts w:hint="eastAsia"/>
                <w:spacing w:val="2"/>
              </w:rPr>
            </w:pPr>
          </w:p>
          <w:p w14:paraId="286AF639">
            <w:pPr>
              <w:pStyle w:val="5"/>
              <w:spacing w:before="2" w:line="218" w:lineRule="auto"/>
              <w:ind w:left="26"/>
              <w:rPr>
                <w:rFonts w:hint="eastAsia"/>
                <w:spacing w:val="2"/>
              </w:rPr>
            </w:pPr>
          </w:p>
          <w:p w14:paraId="35B8DEBE">
            <w:pPr>
              <w:pStyle w:val="5"/>
              <w:numPr>
                <w:ilvl w:val="0"/>
                <w:numId w:val="0"/>
              </w:numPr>
              <w:spacing w:before="2" w:line="218" w:lineRule="auto"/>
              <w:ind w:left="26" w:leftChars="0"/>
              <w:rPr>
                <w:rFonts w:hint="eastAsia"/>
                <w:b w:val="0"/>
                <w:bCs w:val="0"/>
                <w:spacing w:val="2"/>
                <w:lang w:eastAsia="zh-CN"/>
              </w:rPr>
            </w:pPr>
            <w:r>
              <w:rPr>
                <w:rFonts w:hint="eastAsia"/>
                <w:b w:val="0"/>
                <w:bCs w:val="0"/>
                <w:spacing w:val="2"/>
                <w:lang w:val="en-US" w:eastAsia="zh-CN"/>
              </w:rPr>
              <w:t>1.</w:t>
            </w:r>
            <w:r>
              <w:rPr>
                <w:rFonts w:hint="eastAsia"/>
                <w:b w:val="0"/>
                <w:bCs w:val="0"/>
                <w:spacing w:val="2"/>
                <w:lang w:eastAsia="zh-CN"/>
              </w:rPr>
              <w:t>报名人员须以最高学历（学位）报考，具有相应学位。</w:t>
            </w:r>
          </w:p>
          <w:p w14:paraId="2D6561AB">
            <w:pPr>
              <w:pStyle w:val="5"/>
              <w:numPr>
                <w:ilvl w:val="0"/>
                <w:numId w:val="0"/>
              </w:numPr>
              <w:spacing w:before="2" w:line="218" w:lineRule="auto"/>
              <w:ind w:left="26" w:leftChars="0"/>
              <w:rPr>
                <w:rFonts w:hint="eastAsia"/>
                <w:b w:val="0"/>
                <w:bCs w:val="0"/>
                <w:spacing w:val="2"/>
                <w:lang w:eastAsia="zh-CN"/>
              </w:rPr>
            </w:pPr>
            <w:r>
              <w:rPr>
                <w:rFonts w:hint="eastAsia"/>
                <w:b w:val="0"/>
                <w:bCs w:val="0"/>
                <w:spacing w:val="2"/>
                <w:lang w:val="en-US" w:eastAsia="zh-CN"/>
              </w:rPr>
              <w:t>2.若最高学历为研究生，</w:t>
            </w:r>
            <w:bookmarkStart w:id="0" w:name="_GoBack"/>
            <w:bookmarkEnd w:id="0"/>
            <w:r>
              <w:rPr>
                <w:rFonts w:hint="eastAsia"/>
                <w:b w:val="0"/>
                <w:bCs w:val="0"/>
                <w:spacing w:val="2"/>
                <w:lang w:eastAsia="zh-CN"/>
              </w:rPr>
              <w:t>需同时满足本科阶段及研究生阶段的专业要求。</w:t>
            </w:r>
          </w:p>
          <w:p w14:paraId="0AE9BC60">
            <w:pPr>
              <w:pStyle w:val="5"/>
              <w:numPr>
                <w:ilvl w:val="0"/>
                <w:numId w:val="0"/>
              </w:numPr>
              <w:spacing w:before="2" w:line="218" w:lineRule="auto"/>
              <w:ind w:left="26" w:leftChars="0"/>
              <w:rPr>
                <w:rFonts w:hint="eastAsia"/>
                <w:b w:val="0"/>
                <w:bCs w:val="0"/>
                <w:spacing w:val="2"/>
                <w:lang w:eastAsia="zh-CN"/>
              </w:rPr>
            </w:pPr>
            <w:r>
              <w:rPr>
                <w:rFonts w:hint="eastAsia"/>
                <w:b w:val="0"/>
                <w:bCs w:val="0"/>
                <w:spacing w:val="2"/>
                <w:lang w:val="en-US" w:eastAsia="zh-CN"/>
              </w:rPr>
              <w:t>3.</w:t>
            </w:r>
            <w:r>
              <w:rPr>
                <w:rFonts w:hint="eastAsia"/>
                <w:b w:val="0"/>
                <w:bCs w:val="0"/>
                <w:spacing w:val="2"/>
                <w:lang w:eastAsia="zh-CN"/>
              </w:rPr>
              <w:t>须具有6年以上水务企业经营管理工作经历；具备水务市场项目拓展及管理经验；具备水务设施运维管理与提质增效能力等。</w:t>
            </w:r>
          </w:p>
          <w:p w14:paraId="723FF949">
            <w:pPr>
              <w:pStyle w:val="5"/>
              <w:numPr>
                <w:ilvl w:val="0"/>
                <w:numId w:val="0"/>
              </w:numPr>
              <w:spacing w:before="2" w:line="218" w:lineRule="auto"/>
              <w:ind w:left="26" w:leftChars="0"/>
              <w:rPr>
                <w:rFonts w:hint="eastAsia"/>
                <w:b w:val="0"/>
                <w:bCs w:val="0"/>
                <w:spacing w:val="2"/>
                <w:lang w:eastAsia="zh-CN"/>
              </w:rPr>
            </w:pPr>
            <w:r>
              <w:rPr>
                <w:rFonts w:hint="eastAsia"/>
                <w:b w:val="0"/>
                <w:bCs w:val="0"/>
                <w:spacing w:val="2"/>
                <w:lang w:val="en-US" w:eastAsia="zh-CN"/>
              </w:rPr>
              <w:t>4.</w:t>
            </w:r>
            <w:r>
              <w:rPr>
                <w:rFonts w:hint="eastAsia"/>
                <w:b w:val="0"/>
                <w:bCs w:val="0"/>
                <w:spacing w:val="2"/>
                <w:lang w:eastAsia="zh-CN"/>
              </w:rPr>
              <w:t xml:space="preserve">具备同层级或同规模岗位任职经历；有区属/市属国企水务板块管理背景优先。                   </w:t>
            </w:r>
            <w:r>
              <w:rPr>
                <w:rFonts w:hint="eastAsia"/>
                <w:b w:val="0"/>
                <w:bCs w:val="0"/>
                <w:spacing w:val="2"/>
                <w:lang w:val="en-US" w:eastAsia="zh-CN"/>
              </w:rPr>
              <w:t>5.</w:t>
            </w:r>
            <w:r>
              <w:rPr>
                <w:rFonts w:hint="eastAsia"/>
                <w:b w:val="0"/>
                <w:bCs w:val="0"/>
                <w:spacing w:val="2"/>
                <w:lang w:eastAsia="zh-CN"/>
              </w:rPr>
              <w:t>具备较强的责任担当、创新意识、目标执行力，擅长团队管理、资源整合、危机攻关与抗压管理，熟悉行业监管、安全生产、工会群团等综合管理要求。</w:t>
            </w:r>
          </w:p>
          <w:p w14:paraId="74D4F583">
            <w:pPr>
              <w:pStyle w:val="5"/>
              <w:numPr>
                <w:ilvl w:val="0"/>
                <w:numId w:val="0"/>
              </w:numPr>
              <w:spacing w:before="2" w:line="218" w:lineRule="auto"/>
              <w:ind w:left="26" w:leftChars="0"/>
              <w:rPr>
                <w:rFonts w:hint="eastAsia"/>
                <w:b w:val="0"/>
                <w:bCs w:val="0"/>
                <w:spacing w:val="2"/>
                <w:lang w:eastAsia="zh-CN"/>
              </w:rPr>
            </w:pPr>
            <w:r>
              <w:rPr>
                <w:rFonts w:hint="eastAsia"/>
                <w:b w:val="0"/>
                <w:bCs w:val="0"/>
                <w:spacing w:val="2"/>
                <w:lang w:val="en-US" w:eastAsia="zh-CN"/>
              </w:rPr>
              <w:t>6.</w:t>
            </w:r>
            <w:r>
              <w:rPr>
                <w:rFonts w:hint="eastAsia"/>
                <w:b w:val="0"/>
                <w:bCs w:val="0"/>
                <w:spacing w:val="2"/>
                <w:lang w:eastAsia="zh-CN"/>
              </w:rPr>
              <w:t>硕士研究生须具有与岗位职责要求相适应的中级及以上技术职称或职业资格证书。</w:t>
            </w:r>
          </w:p>
          <w:p w14:paraId="6994D759">
            <w:pPr>
              <w:pStyle w:val="5"/>
              <w:spacing w:before="2" w:line="218" w:lineRule="auto"/>
              <w:ind w:left="26"/>
            </w:pPr>
          </w:p>
        </w:tc>
      </w:tr>
    </w:tbl>
    <w:p w14:paraId="5C32CCBD">
      <w:pPr>
        <w:rPr>
          <w:rFonts w:ascii="Arial"/>
          <w:sz w:val="21"/>
        </w:rPr>
      </w:pPr>
    </w:p>
    <w:sectPr>
      <w:headerReference r:id="rId5" w:type="default"/>
      <w:pgSz w:w="16839" w:h="11907"/>
      <w:pgMar w:top="882" w:right="972" w:bottom="0" w:left="1010" w:header="617"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FangSong_GB2312">
    <w:altName w:val="仿宋_GB2312"/>
    <w:panose1 w:val="02010609030101010101"/>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10CFF5">
    <w:pPr>
      <w:spacing w:before="50" w:line="210" w:lineRule="auto"/>
      <w:ind w:left="55"/>
      <w:rPr>
        <w:rFonts w:ascii="黑体" w:hAnsi="黑体" w:eastAsia="黑体" w:cs="黑体"/>
        <w:sz w:val="18"/>
        <w:szCs w:val="18"/>
      </w:rPr>
    </w:pPr>
    <w:r>
      <w:rPr>
        <w:rFonts w:ascii="黑体" w:hAnsi="黑体" w:eastAsia="黑体" w:cs="黑体"/>
        <w:sz w:val="18"/>
        <w:szCs w:val="18"/>
      </w:rPr>
      <w:t>附件1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006359B3"/>
    <w:rsid w:val="06112742"/>
    <w:rsid w:val="0764271A"/>
    <w:rsid w:val="0D6C6771"/>
    <w:rsid w:val="10171661"/>
    <w:rsid w:val="1142587A"/>
    <w:rsid w:val="139E313B"/>
    <w:rsid w:val="19F4792E"/>
    <w:rsid w:val="1C550B58"/>
    <w:rsid w:val="1DEF0022"/>
    <w:rsid w:val="20745325"/>
    <w:rsid w:val="21C14169"/>
    <w:rsid w:val="22E9380F"/>
    <w:rsid w:val="2D9C30C6"/>
    <w:rsid w:val="2FFE05FF"/>
    <w:rsid w:val="34A83397"/>
    <w:rsid w:val="36D056D3"/>
    <w:rsid w:val="390330F2"/>
    <w:rsid w:val="3BAE1BDB"/>
    <w:rsid w:val="3DFB3F29"/>
    <w:rsid w:val="47FF1D77"/>
    <w:rsid w:val="499A379E"/>
    <w:rsid w:val="4BBA043E"/>
    <w:rsid w:val="4C910E89"/>
    <w:rsid w:val="4F4115B9"/>
    <w:rsid w:val="5A174DC0"/>
    <w:rsid w:val="5C3C762C"/>
    <w:rsid w:val="5DED7BDC"/>
    <w:rsid w:val="5E2A6A47"/>
    <w:rsid w:val="5F02557F"/>
    <w:rsid w:val="6B517D09"/>
    <w:rsid w:val="6B9B2D32"/>
    <w:rsid w:val="6B9E2823"/>
    <w:rsid w:val="72031631"/>
    <w:rsid w:val="78BE5500"/>
    <w:rsid w:val="7C7E659B"/>
    <w:rsid w:val="7EA35E43"/>
    <w:rsid w:val="7EE06F8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customStyle="1" w:styleId="4">
    <w:name w:val="Table Normal"/>
    <w:semiHidden/>
    <w:unhideWhenUsed/>
    <w:qFormat/>
    <w:uiPriority w:val="0"/>
    <w:tblPr>
      <w:tblCellMar>
        <w:top w:w="0" w:type="dxa"/>
        <w:left w:w="0" w:type="dxa"/>
        <w:bottom w:w="0" w:type="dxa"/>
        <w:right w:w="0" w:type="dxa"/>
      </w:tblCellMar>
    </w:tblPr>
  </w:style>
  <w:style w:type="paragraph" w:customStyle="1" w:styleId="5">
    <w:name w:val="Table Text"/>
    <w:basedOn w:val="1"/>
    <w:semiHidden/>
    <w:qFormat/>
    <w:uiPriority w:val="0"/>
    <w:rPr>
      <w:rFonts w:ascii="FangSong_GB2312" w:hAnsi="FangSong_GB2312" w:eastAsia="FangSong_GB2312" w:cs="FangSong_GB2312"/>
      <w:sz w:val="16"/>
      <w:szCs w:val="16"/>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Pages>
  <Words>445</Words>
  <Characters>454</Characters>
  <TotalTime>14</TotalTime>
  <ScaleCrop>false</ScaleCrop>
  <LinksUpToDate>false</LinksUpToDate>
  <CharactersWithSpaces>473</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2026-08-11T14:16:00Z</dcterms:created>
  <dc:creator>czj-mdj</dc:creator>
  <cp:lastModifiedBy>黄菁</cp:lastModifiedBy>
  <dcterms:modified xsi:type="dcterms:W3CDTF">2026-09-28T05:07:10Z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2026-08-18T15:23:06Z</vt:filetime>
  </property>
  <property fmtid="{D5CDD505-2E9C-101B-9397-08002B2CF9AE}" pid="4" name="KSOTemplateDocerSaveRecord">
    <vt:lpwstr>eyJoZGlkIjoiYzVmNDVhMWYzNzQ2YzEzMTI4ZDU2MTIyNjM0ODJhNDIiLCJ1c2VySWQiOiIxMzMyMjk3OTk0In0=</vt:lpwstr>
  </property>
  <property fmtid="{D5CDD505-2E9C-101B-9397-08002B2CF9AE}" pid="5" name="KSOProductBuildVer">
    <vt:lpwstr>2052-12.1.0.28505</vt:lpwstr>
  </property>
  <property fmtid="{D5CDD505-2E9C-101B-9397-08002B2CF9AE}" pid="6" name="ICV">
    <vt:lpwstr>1254F4F2323545CE8604709274E7674A_12</vt:lpwstr>
  </property>
</Properties>
</file>